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60" w:type="dxa"/>
        <w:jc w:val="left"/>
        <w:tblInd w:w="0" w:type="dxa"/>
        <w:tblCellMar>
          <w:top w:w="0" w:type="dxa"/>
          <w:left w:w="108" w:type="dxa"/>
          <w:bottom w:w="0" w:type="dxa"/>
          <w:right w:w="108" w:type="dxa"/>
        </w:tblCellMar>
        <w:tblLook w:firstRow="1" w:noVBand="1" w:lastRow="0" w:firstColumn="1" w:lastColumn="0" w:noHBand="0" w:val="04a0"/>
      </w:tblPr>
      <w:tblGrid>
        <w:gridCol w:w="989"/>
        <w:gridCol w:w="8370"/>
      </w:tblGrid>
      <w:tr>
        <w:trPr>
          <w:trHeight w:val="288"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Times New Roman" w:cs="Calibri"/>
                <w:color w:val="000000"/>
              </w:rPr>
            </w:r>
          </w:p>
        </w:tc>
        <w:tc>
          <w:tcPr>
            <w:tcW w:w="8370" w:type="dxa"/>
            <w:tcBorders/>
            <w:shd w:color="auto" w:fill="auto" w:val="clear"/>
            <w:vAlign w:val="center"/>
          </w:tcPr>
          <w:p>
            <w:pPr>
              <w:pStyle w:val="Normal"/>
              <w:spacing w:lineRule="auto" w:line="240" w:before="0" w:after="0"/>
              <w:jc w:val="center"/>
              <w:rPr>
                <w:sz w:val="24"/>
                <w:szCs w:val="24"/>
              </w:rPr>
            </w:pPr>
            <w:r>
              <w:rPr>
                <w:sz w:val="24"/>
                <w:szCs w:val="24"/>
              </w:rPr>
              <w:t>Top 10 Charitable Planning Strategies in 2022</w:t>
            </w:r>
          </w:p>
          <w:p>
            <w:pPr>
              <w:pStyle w:val="Normal"/>
              <w:spacing w:lineRule="auto" w:line="240" w:before="0" w:after="0"/>
              <w:jc w:val="center"/>
              <w:rPr>
                <w:rFonts w:ascii="Calibri" w:hAnsi="Calibri" w:eastAsia="Times New Roman" w:cs="Calibri"/>
                <w:color w:val="000000"/>
              </w:rPr>
            </w:pPr>
            <w:r>
              <w:rPr>
                <w:sz w:val="24"/>
                <w:szCs w:val="24"/>
              </w:rPr>
              <w:t>50-Minute Timed Outline</w:t>
            </w:r>
          </w:p>
        </w:tc>
      </w:tr>
      <w:tr>
        <w:trPr>
          <w:trHeight w:val="288"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u w:val="single"/>
              </w:rPr>
            </w:pPr>
            <w:r>
              <w:rPr>
                <w:rFonts w:eastAsia="Times New Roman" w:cs="Calibri"/>
                <w:color w:val="000000"/>
                <w:u w:val="single"/>
              </w:rPr>
              <w:t>Minute</w:t>
            </w:r>
          </w:p>
        </w:tc>
        <w:tc>
          <w:tcPr>
            <w:tcW w:w="8370" w:type="dxa"/>
            <w:tcBorders/>
            <w:shd w:color="auto" w:fill="auto" w:val="clear"/>
            <w:vAlign w:val="bottom"/>
          </w:tcPr>
          <w:p>
            <w:pPr>
              <w:pStyle w:val="Normal"/>
              <w:spacing w:lineRule="auto" w:line="240" w:before="0" w:after="0"/>
              <w:rPr>
                <w:rFonts w:ascii="Calibri" w:hAnsi="Calibri" w:eastAsia="Times New Roman" w:cs="Calibri"/>
                <w:color w:val="000000"/>
                <w:u w:val="single"/>
              </w:rPr>
            </w:pPr>
            <w:r>
              <w:rPr>
                <w:rFonts w:eastAsia="Times New Roman" w:cs="Calibri"/>
                <w:color w:val="000000"/>
                <w:u w:val="single"/>
              </w:rPr>
              <w:t>Topic</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Times New Roman" w:cs="Calibri"/>
                <w:color w:val="000000"/>
              </w:rPr>
              <w:t>1</w:t>
            </w:r>
          </w:p>
        </w:tc>
        <w:tc>
          <w:tcPr>
            <w:tcW w:w="8370" w:type="dxa"/>
            <w:tcBorders/>
            <w:shd w:color="auto" w:fill="auto" w:val="clear"/>
            <w:vAlign w:val="center"/>
          </w:tcPr>
          <w:p>
            <w:pPr>
              <w:pStyle w:val="Normal"/>
              <w:spacing w:lineRule="auto" w:line="240" w:before="0" w:after="0"/>
              <w:rPr>
                <w:rFonts w:ascii="Calibri" w:hAnsi="Calibri" w:eastAsia="Times New Roman" w:cs="Calibri"/>
                <w:color w:val="000000"/>
                <w:sz w:val="24"/>
                <w:szCs w:val="24"/>
              </w:rPr>
            </w:pPr>
            <w:r>
              <w:rPr>
                <w:rFonts w:eastAsia="Times New Roman" w:cs="Calibri"/>
                <w:color w:val="000000"/>
                <w:sz w:val="24"/>
                <w:szCs w:val="24"/>
              </w:rPr>
              <w:t>Introduction</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Times New Roman" w:cs="Calibri"/>
                <w:color w:val="000000"/>
              </w:rPr>
              <w:t>1</w:t>
            </w:r>
          </w:p>
        </w:tc>
        <w:tc>
          <w:tcPr>
            <w:tcW w:w="8370" w:type="dxa"/>
            <w:tcBorders/>
            <w:shd w:color="auto" w:fill="auto" w:val="clear"/>
            <w:vAlign w:val="center"/>
          </w:tcPr>
          <w:p>
            <w:pPr>
              <w:pStyle w:val="Normal"/>
              <w:spacing w:lineRule="auto" w:line="240" w:before="0" w:after="0"/>
              <w:rPr>
                <w:rFonts w:ascii="Calibri" w:hAnsi="Calibri" w:eastAsia="Times New Roman" w:cs="Calibri"/>
                <w:color w:val="000000"/>
                <w:sz w:val="24"/>
                <w:szCs w:val="24"/>
              </w:rPr>
            </w:pPr>
            <w:r>
              <w:rPr>
                <w:rFonts w:eastAsia="Times New Roman" w:cs="Calibri"/>
                <w:color w:val="000000"/>
                <w:sz w:val="24"/>
                <w:szCs w:val="24"/>
              </w:rPr>
              <w:t>Never give cash</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2</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Appreciated asset gifts are objectively cheaper</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3</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Asset gifts are cheaper for itemizers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3</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Asset gifts are cheaper for non-itemizers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4</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Asset gifts got EVEN cheaper for those in many states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Times New Roman" w:cs="Calibri"/>
                <w:color w:val="000000"/>
              </w:rPr>
              <w:t>5</w:t>
            </w:r>
          </w:p>
        </w:tc>
        <w:tc>
          <w:tcPr>
            <w:tcW w:w="8370" w:type="dxa"/>
            <w:tcBorders/>
            <w:shd w:color="auto" w:fill="auto" w:val="clear"/>
            <w:vAlign w:val="center"/>
          </w:tcPr>
          <w:p>
            <w:pPr>
              <w:pStyle w:val="Normal"/>
              <w:spacing w:lineRule="auto" w:line="240" w:before="0" w:after="0"/>
              <w:rPr>
                <w:rFonts w:ascii="Calibri" w:hAnsi="Calibri" w:eastAsia="Times New Roman" w:cs="Calibri"/>
                <w:color w:val="000000"/>
                <w:sz w:val="24"/>
                <w:szCs w:val="24"/>
              </w:rPr>
            </w:pPr>
            <w:r>
              <w:rPr>
                <w:rFonts w:eastAsia="Times New Roman" w:cs="Calibri"/>
                <w:color w:val="000000"/>
                <w:sz w:val="24"/>
                <w:szCs w:val="24"/>
              </w:rPr>
              <w:t>Use the charitable swap</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5</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No need to change your portfolio!</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6</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The Charitable Swap with a DAF</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Times New Roman" w:cs="Calibri"/>
                <w:color w:val="000000"/>
              </w:rPr>
              <w:t>7</w:t>
            </w:r>
          </w:p>
        </w:tc>
        <w:tc>
          <w:tcPr>
            <w:tcW w:w="8370" w:type="dxa"/>
            <w:tcBorders/>
            <w:shd w:color="auto" w:fill="auto" w:val="clear"/>
            <w:vAlign w:val="center"/>
          </w:tcPr>
          <w:p>
            <w:pPr>
              <w:pStyle w:val="Normal"/>
              <w:spacing w:lineRule="auto" w:line="240" w:before="0" w:after="0"/>
              <w:rPr>
                <w:rFonts w:ascii="Calibri" w:hAnsi="Calibri" w:eastAsia="Times New Roman" w:cs="Calibri"/>
                <w:color w:val="000000"/>
                <w:sz w:val="24"/>
                <w:szCs w:val="24"/>
              </w:rPr>
            </w:pPr>
            <w:r>
              <w:rPr>
                <w:rFonts w:eastAsia="Times New Roman" w:cs="Calibri"/>
                <w:color w:val="000000"/>
                <w:sz w:val="24"/>
                <w:szCs w:val="24"/>
              </w:rPr>
              <w:t>Learn “bunching” and other new tricks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7</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For non-itemizers, consider bunching donations into BIG giving years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8</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Combine with appreciated assets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9</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For some, the benefits from giving even cash went up</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9</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Charitable deductions reduce taxable income, and can thereby “bring back” the business income deduction from the dead</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Times New Roman" w:cs="Calibri"/>
                <w:color w:val="000000"/>
              </w:rPr>
              <w:t>10</w:t>
            </w:r>
          </w:p>
        </w:tc>
        <w:tc>
          <w:tcPr>
            <w:tcW w:w="8370" w:type="dxa"/>
            <w:tcBorders/>
            <w:shd w:color="auto" w:fill="auto" w:val="clear"/>
            <w:vAlign w:val="center"/>
          </w:tcPr>
          <w:p>
            <w:pPr>
              <w:pStyle w:val="Normal"/>
              <w:spacing w:lineRule="auto" w:line="240" w:before="0" w:after="0"/>
              <w:rPr>
                <w:rFonts w:ascii="Calibri" w:hAnsi="Calibri" w:eastAsia="Times New Roman" w:cs="Calibri"/>
                <w:color w:val="000000"/>
                <w:sz w:val="24"/>
                <w:szCs w:val="24"/>
              </w:rPr>
            </w:pPr>
            <w:r>
              <w:rPr>
                <w:rFonts w:eastAsia="Times New Roman" w:cs="Calibri"/>
                <w:color w:val="000000"/>
                <w:sz w:val="24"/>
                <w:szCs w:val="24"/>
              </w:rPr>
              <w:t>Give retirement RMD first and more at death</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11</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Life stages of a retirement account</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11</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Giving after 72 – RMD</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12</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Giving after 72 – Deduction</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13</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Giving after 70.5 – QCD</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13</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Qualified Charitable Distribution rules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14</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The SECURE Act’s “above-the-line” charitable deduction</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15</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Retirement plan assets inherited by non-charitable beneficiaries are reduced by income tax</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15</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Case scenario: A client with a $1MM IRA and a $1MM house wants to leave one to her child and one to charity</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16</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Good retirement plan charitable beneficiaries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17</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Bad retirement plan death beneficiaries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17</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Easy answers to a misunderstood issue: Charities are not “designated beneficiaries,”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Times New Roman" w:cs="Calibri"/>
                <w:color w:val="000000"/>
              </w:rPr>
              <w:t>18</w:t>
            </w:r>
          </w:p>
        </w:tc>
        <w:tc>
          <w:tcPr>
            <w:tcW w:w="8370" w:type="dxa"/>
            <w:tcBorders/>
            <w:shd w:color="auto" w:fill="auto" w:val="clear"/>
            <w:vAlign w:val="center"/>
          </w:tcPr>
          <w:p>
            <w:pPr>
              <w:pStyle w:val="Normal"/>
              <w:spacing w:lineRule="auto" w:line="240" w:before="0" w:after="0"/>
              <w:rPr>
                <w:rFonts w:ascii="Calibri" w:hAnsi="Calibri" w:eastAsia="Times New Roman" w:cs="Calibri"/>
                <w:color w:val="000000"/>
                <w:sz w:val="24"/>
                <w:szCs w:val="24"/>
              </w:rPr>
            </w:pPr>
            <w:r>
              <w:rPr>
                <w:rFonts w:eastAsia="Times New Roman" w:cs="Calibri"/>
                <w:color w:val="000000"/>
                <w:sz w:val="24"/>
                <w:szCs w:val="24"/>
              </w:rPr>
              <w:t>Take deductions today for transfers tomorrow</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19</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A retained life estate deed can give the inheritance rights to a charity</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19</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Unlike a will, a retained life estate deed is not revocable</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20</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Transferred by recording a deed (not by trust or contract)</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21</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Donating inheritance rights to personal residences or farmland with a retained life estate deed creates a charitable tax deduction</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21</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Includes second homes, vacation homes, even a boat with bathroom, cooking, and sleeping facilities, if used by the donor as a residence</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22</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Examples: Charitable deduction for remainder interest deed with retained life estate in $1,000,000 of farmland by age 55 donor</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23</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Lock in the biggest deduction by donating the inheritance rights when interest rates are lowest</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23</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Comparing will v. retained life estate</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24</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Charitable Remainder Trusts generate an immediate tax deduction, even though donor can manage assets and receive income for life</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25</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Grantor CLT - Donor immediately deducts present value of all future projected payments to charity</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25</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Funding $10,000/year gifts through a 20-year grantor CLAT (returning remainder to donor) creates an immediate deduction of $191,840 at 0.4% §7520 rate and $98,181 at 8% §7520 rate</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Times New Roman" w:cs="Calibri"/>
                <w:color w:val="000000"/>
              </w:rPr>
              <w:t>26</w:t>
            </w:r>
          </w:p>
        </w:tc>
        <w:tc>
          <w:tcPr>
            <w:tcW w:w="8370" w:type="dxa"/>
            <w:tcBorders/>
            <w:shd w:color="auto" w:fill="auto" w:val="clear"/>
            <w:vAlign w:val="center"/>
          </w:tcPr>
          <w:p>
            <w:pPr>
              <w:pStyle w:val="Normal"/>
              <w:spacing w:lineRule="auto" w:line="240" w:before="0" w:after="0"/>
              <w:rPr>
                <w:rFonts w:ascii="Calibri" w:hAnsi="Calibri" w:eastAsia="Times New Roman" w:cs="Calibri"/>
                <w:color w:val="000000"/>
                <w:sz w:val="24"/>
                <w:szCs w:val="24"/>
              </w:rPr>
            </w:pPr>
            <w:r>
              <w:rPr>
                <w:rFonts w:eastAsia="Times New Roman" w:cs="Calibri"/>
                <w:color w:val="000000"/>
                <w:sz w:val="24"/>
                <w:szCs w:val="24"/>
              </w:rPr>
              <w:t>Match deductions with Roth conversions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27</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Roth conversions and charitable planning can work together to match income and deductions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27</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Example: Conversion creates $1MM in immediate taxable income</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28</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Where can I find offsetting deductions?</w:t>
            </w:r>
            <w:r>
              <w:rPr>
                <w:rFonts w:eastAsia="Symbol" w:cs="Calibri"/>
                <w:color w:val="000000"/>
              </w:rPr>
              <w:t xml:space="preserve"> </w:t>
            </w:r>
            <w:r>
              <w:rPr>
                <w:rFonts w:eastAsia="Symbol" w:cs="Calibri"/>
                <w:color w:val="000000"/>
                <w:sz w:val="24"/>
                <w:szCs w:val="24"/>
              </w:rPr>
              <w:t>CRT, CLT, CGA, DAF, PF, Remainder interest in residence or farmland</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29</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Charitable deductions may be limited (with five-year carryover) to 20%, 30%, 50%, or 60% of income depending on gift and recipient</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29</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If I have unused deductions, how can I pull future income into current year?  With a Roth conversion</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Times New Roman" w:cs="Calibri"/>
                <w:color w:val="000000"/>
              </w:rPr>
              <w:t>30</w:t>
            </w:r>
          </w:p>
        </w:tc>
        <w:tc>
          <w:tcPr>
            <w:tcW w:w="8370" w:type="dxa"/>
            <w:tcBorders/>
            <w:shd w:color="auto" w:fill="auto" w:val="clear"/>
            <w:vAlign w:val="center"/>
          </w:tcPr>
          <w:p>
            <w:pPr>
              <w:pStyle w:val="Normal"/>
              <w:spacing w:lineRule="auto" w:line="240" w:before="0" w:after="0"/>
              <w:rPr>
                <w:rFonts w:ascii="Calibri" w:hAnsi="Calibri" w:eastAsia="Times New Roman" w:cs="Calibri"/>
                <w:color w:val="000000"/>
                <w:sz w:val="24"/>
                <w:szCs w:val="24"/>
              </w:rPr>
            </w:pPr>
            <w:r>
              <w:rPr>
                <w:rFonts w:eastAsia="Times New Roman" w:cs="Calibri"/>
                <w:color w:val="000000"/>
                <w:sz w:val="24"/>
                <w:szCs w:val="24"/>
              </w:rPr>
              <w:t>Buy life insurance with tax deductions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31</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Charitable planning devices such as Charitable Gift Annuities, Gifts of Remainder Interests in Homes and Farms, and Charitable Remainder Trusts produce amazing tax advantages, reducing income taxes, capital gain taxes, and estate taxes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31</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But they also reduce heirs’ inheritance</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32</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Life insurance can diminish this concern</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33</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Can it pay to be charitable? A CRT Example</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34</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Can it pay to be charitable? A Retained Life Estate Example</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Times New Roman" w:cs="Calibri"/>
                <w:color w:val="000000"/>
              </w:rPr>
              <w:t>34</w:t>
            </w:r>
          </w:p>
        </w:tc>
        <w:tc>
          <w:tcPr>
            <w:tcW w:w="8370" w:type="dxa"/>
            <w:tcBorders/>
            <w:shd w:color="auto" w:fill="auto" w:val="clear"/>
            <w:vAlign w:val="center"/>
          </w:tcPr>
          <w:p>
            <w:pPr>
              <w:pStyle w:val="Normal"/>
              <w:spacing w:lineRule="auto" w:line="240" w:before="0" w:after="0"/>
              <w:rPr>
                <w:rFonts w:ascii="Calibri" w:hAnsi="Calibri" w:eastAsia="Times New Roman" w:cs="Calibri"/>
                <w:color w:val="000000"/>
                <w:sz w:val="24"/>
                <w:szCs w:val="24"/>
              </w:rPr>
            </w:pPr>
            <w:r>
              <w:rPr>
                <w:rFonts w:eastAsia="Times New Roman" w:cs="Calibri"/>
                <w:color w:val="000000"/>
                <w:sz w:val="24"/>
                <w:szCs w:val="24"/>
              </w:rPr>
              <w:t>Earn more by avoiding capital gains tax</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35</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How to convert low basis property to income generating property?</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36</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CRT Example scenarios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Times New Roman" w:cs="Calibri"/>
                <w:color w:val="000000"/>
              </w:rPr>
              <w:t>36</w:t>
            </w:r>
          </w:p>
        </w:tc>
        <w:tc>
          <w:tcPr>
            <w:tcW w:w="8370" w:type="dxa"/>
            <w:tcBorders/>
            <w:shd w:color="auto" w:fill="auto" w:val="clear"/>
            <w:vAlign w:val="center"/>
          </w:tcPr>
          <w:p>
            <w:pPr>
              <w:pStyle w:val="Normal"/>
              <w:spacing w:lineRule="auto" w:line="240" w:before="0" w:after="0"/>
              <w:rPr>
                <w:rFonts w:ascii="Calibri" w:hAnsi="Calibri" w:eastAsia="Times New Roman" w:cs="Calibri"/>
                <w:color w:val="000000"/>
                <w:sz w:val="24"/>
                <w:szCs w:val="24"/>
              </w:rPr>
            </w:pPr>
            <w:r>
              <w:rPr>
                <w:rFonts w:eastAsia="Times New Roman" w:cs="Calibri"/>
                <w:color w:val="000000"/>
                <w:sz w:val="24"/>
                <w:szCs w:val="24"/>
              </w:rPr>
              <w:t>Grow tax free</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37</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Tax free growth environments: DAF, CRT, PF</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38</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Tax free growth examples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38</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How a CRT increases assets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39</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Will a maximum payout CRUT (with appreciated assets) give more after-tax dollars to donors &amp; heirs than a direct investment with no charitable gift?</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40</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Monte Carlo Simulation of 3,000,000 retirement lifetimes set up</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40</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Comparison results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Times New Roman" w:cs="Calibri"/>
                <w:color w:val="000000"/>
              </w:rPr>
              <w:t>41</w:t>
            </w:r>
          </w:p>
        </w:tc>
        <w:tc>
          <w:tcPr>
            <w:tcW w:w="8370" w:type="dxa"/>
            <w:tcBorders/>
            <w:shd w:color="auto" w:fill="auto" w:val="clear"/>
            <w:vAlign w:val="center"/>
          </w:tcPr>
          <w:p>
            <w:pPr>
              <w:pStyle w:val="Normal"/>
              <w:spacing w:lineRule="auto" w:line="240" w:before="0" w:after="0"/>
              <w:rPr>
                <w:rFonts w:ascii="Calibri" w:hAnsi="Calibri" w:eastAsia="Times New Roman" w:cs="Calibri"/>
                <w:color w:val="000000"/>
                <w:sz w:val="24"/>
                <w:szCs w:val="24"/>
              </w:rPr>
            </w:pPr>
            <w:r>
              <w:rPr>
                <w:rFonts w:eastAsia="Times New Roman" w:cs="Calibri"/>
                <w:color w:val="000000"/>
                <w:sz w:val="24"/>
                <w:szCs w:val="24"/>
              </w:rPr>
              <w:t>Maintain wealth over multiple generations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42</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Keeping wealth together for many generations is difficult</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42</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A donor advised fund or private foundation holds money and distributes charitable grants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43</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Multi-generational management with charitable planning</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44</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Private Foundation Permitted Transactions #1</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44</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Private Foundation Permitted Transactions #2</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45</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Private foundations allow for unlimited multi-generational, nearly tax-free (1.39%) control of wealth, with ongoing ability to provide insider travel and employment for professional/ management services, and limiting charitable activities to founder’s desires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46</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Donor Advised Fund v. Private foundations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46</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Non-Grantor Charitable Lead Trust</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47</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Gift taxes are paid on the present value of the PROJECTED remainder going to the heirs</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48</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Example numbers with a CLT</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48</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If the charitable gift (or bequest) was already planned, the zeroed-out CLAT (or zeroed-out testamentary CLAT) provides a no cost chance at tax-free transfers to family</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Symbol" w:cs="Symbol"/>
                <w:color w:val="000000"/>
              </w:rPr>
              <w:t>49</w:t>
            </w:r>
          </w:p>
        </w:tc>
        <w:tc>
          <w:tcPr>
            <w:tcW w:w="8370" w:type="dxa"/>
            <w:tcBorders/>
            <w:shd w:color="auto" w:fill="auto" w:val="clear"/>
            <w:vAlign w:val="center"/>
          </w:tcPr>
          <w:p>
            <w:pPr>
              <w:pStyle w:val="Normal"/>
              <w:spacing w:lineRule="auto" w:line="240" w:before="0" w:after="0"/>
              <w:rPr>
                <w:rFonts w:ascii="Symbol" w:hAnsi="Symbol" w:eastAsia="Times New Roman" w:cs="Calibri"/>
                <w:color w:val="000000"/>
                <w:sz w:val="24"/>
                <w:szCs w:val="24"/>
              </w:rPr>
            </w:pPr>
            <w:r>
              <w:rPr>
                <w:rFonts w:eastAsia="Symbol" w:cs="Symbol" w:ascii="Symbol" w:hAnsi="Symbol"/>
                <w:color w:val="000000"/>
                <w:sz w:val="24"/>
                <w:szCs w:val="24"/>
              </w:rPr>
              <w:t>·</w:t>
            </w:r>
            <w:r>
              <w:rPr>
                <w:rFonts w:eastAsia="Symbol" w:cs="Times New Roman" w:ascii="Times New Roman" w:hAnsi="Times New Roman"/>
                <w:color w:val="000000"/>
                <w:sz w:val="14"/>
                <w:szCs w:val="14"/>
              </w:rPr>
              <w:t xml:space="preserve">       </w:t>
            </w:r>
            <w:r>
              <w:rPr>
                <w:rFonts w:eastAsia="Symbol" w:cs="Calibri"/>
                <w:color w:val="000000"/>
                <w:sz w:val="24"/>
                <w:szCs w:val="24"/>
              </w:rPr>
              <w:t>Advanced charitable strategies to preserve wealth</w:t>
            </w:r>
          </w:p>
        </w:tc>
      </w:tr>
      <w:tr>
        <w:trPr>
          <w:trHeight w:val="312" w:hRule="atLeast"/>
        </w:trPr>
        <w:tc>
          <w:tcPr>
            <w:tcW w:w="989" w:type="dxa"/>
            <w:tcBorders/>
            <w:shd w:color="auto" w:fill="auto" w:val="clear"/>
          </w:tcPr>
          <w:p>
            <w:pPr>
              <w:pStyle w:val="Normal"/>
              <w:spacing w:lineRule="auto" w:line="240" w:before="0" w:after="0"/>
              <w:jc w:val="center"/>
              <w:rPr>
                <w:rFonts w:ascii="Calibri" w:hAnsi="Calibri" w:eastAsia="Times New Roman" w:cs="Calibri"/>
                <w:color w:val="000000"/>
              </w:rPr>
            </w:pPr>
            <w:r>
              <w:rPr>
                <w:rFonts w:eastAsia="Times New Roman" w:cs="Calibri"/>
                <w:color w:val="000000"/>
              </w:rPr>
              <w:t>50</w:t>
            </w:r>
          </w:p>
        </w:tc>
        <w:tc>
          <w:tcPr>
            <w:tcW w:w="8370" w:type="dxa"/>
            <w:tcBorders/>
            <w:shd w:color="auto" w:fill="auto" w:val="clear"/>
            <w:vAlign w:val="center"/>
          </w:tcPr>
          <w:p>
            <w:pPr>
              <w:pStyle w:val="Normal"/>
              <w:spacing w:lineRule="auto" w:line="240" w:before="0" w:after="0"/>
              <w:rPr>
                <w:rFonts w:ascii="Calibri" w:hAnsi="Calibri" w:eastAsia="Times New Roman" w:cs="Calibri"/>
                <w:color w:val="000000"/>
                <w:sz w:val="24"/>
                <w:szCs w:val="24"/>
              </w:rPr>
            </w:pPr>
            <w:r>
              <w:rPr>
                <w:rFonts w:eastAsia="Times New Roman" w:cs="Calibri"/>
                <w:color w:val="000000"/>
                <w:sz w:val="24"/>
                <w:szCs w:val="24"/>
              </w:rPr>
              <w:t>Conclusion</w:t>
            </w:r>
          </w:p>
        </w:tc>
      </w:tr>
      <w:tr>
        <w:trPr>
          <w:trHeight w:val="312" w:hRule="atLeast"/>
        </w:trPr>
        <w:tc>
          <w:tcPr>
            <w:tcW w:w="989" w:type="dxa"/>
            <w:tcBorders/>
            <w:shd w:color="auto" w:fill="auto" w:val="clear"/>
          </w:tcPr>
          <w:p>
            <w:pPr>
              <w:pStyle w:val="Normal"/>
              <w:spacing w:lineRule="auto" w:line="240" w:before="0" w:after="0"/>
              <w:jc w:val="center"/>
              <w:rPr>
                <w:sz w:val="24"/>
                <w:szCs w:val="24"/>
              </w:rPr>
            </w:pPr>
            <w:r>
              <w:rPr>
                <w:sz w:val="24"/>
                <w:szCs w:val="24"/>
              </w:rPr>
              <w:t>51-60</w:t>
            </w:r>
          </w:p>
          <w:p>
            <w:pPr>
              <w:pStyle w:val="Normal"/>
              <w:spacing w:lineRule="auto" w:line="240" w:before="0" w:after="0"/>
              <w:jc w:val="center"/>
              <w:rPr>
                <w:rFonts w:ascii="Calibri" w:hAnsi="Calibri" w:eastAsia="Times New Roman" w:cs="Calibri"/>
                <w:color w:val="000000"/>
              </w:rPr>
            </w:pPr>
            <w:r>
              <w:rPr>
                <w:rFonts w:eastAsia="Times New Roman" w:cs="Calibri"/>
                <w:color w:val="000000"/>
              </w:rPr>
            </w:r>
          </w:p>
        </w:tc>
        <w:tc>
          <w:tcPr>
            <w:tcW w:w="8370" w:type="dxa"/>
            <w:tcBorders/>
            <w:shd w:color="auto" w:fill="auto" w:val="clear"/>
          </w:tcPr>
          <w:p>
            <w:pPr>
              <w:pStyle w:val="Normal"/>
              <w:spacing w:lineRule="auto" w:line="240" w:before="0" w:after="0"/>
              <w:jc w:val="center"/>
              <w:rPr>
                <w:rFonts w:ascii="Calibri" w:hAnsi="Calibri" w:eastAsia="Times New Roman" w:cs="Calibri"/>
                <w:color w:val="000000"/>
                <w:sz w:val="24"/>
                <w:szCs w:val="24"/>
              </w:rPr>
            </w:pPr>
            <w:r>
              <w:rPr>
                <w:rFonts w:eastAsia="Times New Roman" w:cs="Calibri"/>
                <w:color w:val="000000"/>
                <w:sz w:val="24"/>
                <w:szCs w:val="24"/>
              </w:rPr>
              <w:t>Questions and Answers</w:t>
            </w:r>
          </w:p>
        </w:tc>
      </w:tr>
    </w:tbl>
    <w:p>
      <w:pPr>
        <w:pStyle w:val="Normal"/>
        <w:spacing w:lineRule="auto" w:line="240" w:before="0" w:after="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 w:name="Symbol">
    <w:charset w:val="00"/>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3c30b9"/>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5716-494F-4C5D-8875-75F7A133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Neat_Office/6.2.8.2$Windows_x86 LibreOffice_project/</Application>
  <Pages>3</Pages>
  <Words>885</Words>
  <Characters>4427</Characters>
  <CharactersWithSpaces>5534</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2022-02-02T15:13:00Z</dcterms:created>
  <dc:creator>James, Russell</dc:creator>
  <dc:description/>
  <dc:language>en-US</dc:language>
  <cp:lastModifiedBy>Abigail Axelrod</cp:lastModifiedBy>
  <dcterms:modified xsi:type="dcterms:W3CDTF">2022-02-02T15:13:00Z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